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ind w:right="247"/>
        <w:jc w:val="both"/>
        <w:rPr>
          <w:bCs/>
          <w:highlight w:val="none"/>
        </w:rPr>
      </w:pPr>
    </w:p>
    <w:p>
      <w:pPr>
        <w:ind w:right="247"/>
        <w:jc w:val="both"/>
        <w:rPr>
          <w:bCs/>
          <w:highlight w:val="none"/>
        </w:rPr>
      </w:pPr>
    </w:p>
    <w:p>
      <w:pPr>
        <w:ind w:right="247"/>
        <w:jc w:val="both"/>
        <w:rPr>
          <w:bCs/>
          <w:highlight w:val="none"/>
        </w:rPr>
      </w:pPr>
      <w:bookmarkStart w:id="0" w:name="_GoBack"/>
      <w:bookmarkEnd w:id="0"/>
    </w:p>
    <w:p>
      <w:pPr>
        <w:ind w:right="247"/>
        <w:jc w:val="both"/>
        <w:rPr>
          <w:bCs/>
          <w:highlight w:val="none"/>
        </w:rPr>
      </w:pPr>
    </w:p>
    <w:p>
      <w:pPr>
        <w:ind w:left="284" w:right="247" w:firstLine="720"/>
        <w:jc w:val="both"/>
        <w:rPr>
          <w:highlight w:val="none"/>
          <w:lang w:eastAsia="ar-SA"/>
        </w:rPr>
      </w:pPr>
      <w:r>
        <w:rPr>
          <w:bCs/>
          <w:highlight w:val="none"/>
        </w:rPr>
        <w:t xml:space="preserve">На основу члана 15. став 6. Правилника о условима и мерилима за избор корисника помоћи за решавање стамбених потреба избеглица </w:t>
      </w:r>
      <w:r>
        <w:rPr>
          <w:highlight w:val="none"/>
          <w:lang w:eastAsia="ar-SA"/>
        </w:rPr>
        <w:t>кроз куповину сеоске куће и доделу пакета помоћи</w:t>
      </w:r>
      <w:r>
        <w:rPr>
          <w:bCs/>
          <w:highlight w:val="none"/>
        </w:rPr>
        <w:t xml:space="preserve">, поступку и начину рада Комисије за избор корисника, број </w:t>
      </w:r>
      <w:r>
        <w:rPr>
          <w:rFonts w:hint="default"/>
          <w:bCs/>
          <w:highlight w:val="none"/>
          <w:lang w:val="en-US"/>
        </w:rPr>
        <w:t>02-71/2015-II</w:t>
      </w:r>
      <w:r>
        <w:rPr>
          <w:bCs/>
          <w:highlight w:val="none"/>
        </w:rPr>
        <w:t xml:space="preserve"> од </w:t>
      </w:r>
      <w:r>
        <w:rPr>
          <w:rFonts w:hint="default"/>
          <w:bCs/>
          <w:highlight w:val="none"/>
          <w:lang w:val="en-US"/>
        </w:rPr>
        <w:t>15</w:t>
      </w:r>
      <w:r>
        <w:rPr>
          <w:bCs/>
          <w:highlight w:val="none"/>
        </w:rPr>
        <w:t>. децембра 2015. године,</w:t>
      </w:r>
      <w:r>
        <w:rPr>
          <w:highlight w:val="none"/>
        </w:rPr>
        <w:t xml:space="preserve"> а у вези са Уговором о гранту - Регионални стамбени програм – Стамбени програм у Републици Србији, Потпројекат </w:t>
      </w:r>
      <w:r>
        <w:rPr>
          <w:highlight w:val="none"/>
          <w:lang w:val="sr-Latn-RS"/>
        </w:rPr>
        <w:t>7</w:t>
      </w:r>
      <w:r>
        <w:rPr>
          <w:highlight w:val="none"/>
        </w:rPr>
        <w:t xml:space="preserve"> – сеоске куће, закљученим између Комесаријата за избеглице и миграције, „ЈУП Истраживање и развој“ д.о.о. и општине</w:t>
      </w:r>
      <w:r>
        <w:rPr>
          <w:rFonts w:hint="default"/>
          <w:highlight w:val="none"/>
          <w:lang w:val="en-US"/>
        </w:rPr>
        <w:t xml:space="preserve"> </w:t>
      </w:r>
      <w:r>
        <w:rPr>
          <w:rFonts w:hint="default"/>
          <w:highlight w:val="none"/>
        </w:rPr>
        <w:t>Србобран</w:t>
      </w:r>
      <w:r>
        <w:rPr>
          <w:highlight w:val="none"/>
        </w:rPr>
        <w:t xml:space="preserve">, </w:t>
      </w:r>
      <w:r>
        <w:rPr>
          <w:bCs/>
          <w:highlight w:val="none"/>
        </w:rPr>
        <w:t xml:space="preserve">Комисија за избор корисника помоћи за решавање стамбених потреба избеглица </w:t>
      </w:r>
      <w:r>
        <w:rPr>
          <w:highlight w:val="none"/>
          <w:lang w:eastAsia="ar-SA"/>
        </w:rPr>
        <w:t xml:space="preserve">кроз куповину најмање </w:t>
      </w:r>
      <w:r>
        <w:rPr>
          <w:highlight w:val="none"/>
          <w:lang w:val="sr-Latn-RS" w:eastAsia="ar-SA"/>
        </w:rPr>
        <w:t>7</w:t>
      </w:r>
      <w:r>
        <w:rPr>
          <w:highlight w:val="none"/>
          <w:lang w:eastAsia="ar-SA"/>
        </w:rPr>
        <w:t xml:space="preserve"> сеоских кућа и доделу пакета помоћи</w:t>
      </w:r>
    </w:p>
    <w:p>
      <w:pPr>
        <w:ind w:left="284" w:right="247" w:firstLine="720"/>
        <w:jc w:val="both"/>
        <w:rPr>
          <w:highlight w:val="none"/>
          <w:lang w:eastAsia="ar-SA"/>
        </w:rPr>
      </w:pPr>
    </w:p>
    <w:p>
      <w:pPr>
        <w:ind w:right="247"/>
        <w:jc w:val="both"/>
        <w:rPr>
          <w:b/>
          <w:highlight w:val="none"/>
        </w:rPr>
      </w:pPr>
    </w:p>
    <w:p>
      <w:pPr>
        <w:ind w:left="284" w:right="247"/>
        <w:jc w:val="center"/>
        <w:rPr>
          <w:b/>
          <w:highlight w:val="none"/>
        </w:rPr>
      </w:pPr>
      <w:r>
        <w:rPr>
          <w:b/>
          <w:highlight w:val="none"/>
        </w:rPr>
        <w:t>ОБАВЕШТАВА</w:t>
      </w:r>
    </w:p>
    <w:p>
      <w:pPr>
        <w:ind w:left="284" w:right="247"/>
        <w:jc w:val="center"/>
        <w:rPr>
          <w:b/>
          <w:highlight w:val="none"/>
        </w:rPr>
      </w:pPr>
    </w:p>
    <w:p>
      <w:pPr>
        <w:ind w:right="247"/>
        <w:jc w:val="both"/>
        <w:rPr>
          <w:b/>
          <w:highlight w:val="none"/>
        </w:rPr>
      </w:pPr>
    </w:p>
    <w:p>
      <w:pPr>
        <w:ind w:left="284" w:right="247" w:firstLine="436"/>
        <w:jc w:val="both"/>
        <w:rPr>
          <w:b/>
          <w:highlight w:val="none"/>
        </w:rPr>
      </w:pPr>
      <w:r>
        <w:rPr>
          <w:highlight w:val="none"/>
        </w:rPr>
        <w:t>Избеглице које су конкурисале на jавни позив објављен</w:t>
      </w:r>
      <w:r>
        <w:rPr>
          <w:highlight w:val="none"/>
          <w:lang w:val="sr-Cyrl-RS"/>
        </w:rPr>
        <w:t xml:space="preserve"> дана</w:t>
      </w:r>
      <w:r>
        <w:rPr>
          <w:highlight w:val="none"/>
        </w:rPr>
        <w:t xml:space="preserve"> </w:t>
      </w:r>
      <w:r>
        <w:rPr>
          <w:rFonts w:hint="default"/>
          <w:highlight w:val="none"/>
          <w:shd w:val="clear" w:color="auto" w:fill="auto"/>
        </w:rPr>
        <w:t>28</w:t>
      </w:r>
      <w:r>
        <w:rPr>
          <w:highlight w:val="none"/>
          <w:shd w:val="clear" w:color="auto" w:fill="auto"/>
        </w:rPr>
        <w:t>. децембра 2015. године</w:t>
      </w:r>
      <w:r>
        <w:rPr>
          <w:highlight w:val="none"/>
        </w:rPr>
        <w:t>,</w:t>
      </w:r>
      <w:r>
        <w:rPr>
          <w:highlight w:val="none"/>
          <w:lang w:val="sr-Latn-RS"/>
        </w:rPr>
        <w:t xml:space="preserve"> </w:t>
      </w:r>
      <w:r>
        <w:rPr>
          <w:highlight w:val="none"/>
          <w:lang w:val="sr-Cyrl-RS"/>
        </w:rPr>
        <w:t xml:space="preserve">а које су се нашле испод црте на Одлуци о решавању стамбених потреба избеглица доделом помоћи при куповини сеоске куће са окућницом и доделом пакета помоћи са листом корисника рангираних према реду првенства, на основу испуњености услова и броја освојених бодова 26-26-3/2016 од 24.08.2016. године - укупно 7 подносиоца пријава на конкурс, </w:t>
      </w:r>
      <w:r>
        <w:rPr>
          <w:highlight w:val="none"/>
        </w:rPr>
        <w:t xml:space="preserve">у оквиру Регионалног стамбеног програма Потпројекта бр. </w:t>
      </w:r>
      <w:r>
        <w:rPr>
          <w:highlight w:val="none"/>
          <w:lang w:val="sr-Cyrl-RS"/>
        </w:rPr>
        <w:t>2</w:t>
      </w:r>
      <w:r>
        <w:rPr>
          <w:highlight w:val="none"/>
        </w:rPr>
        <w:t xml:space="preserve"> – сеоске куће, </w:t>
      </w:r>
      <w:r>
        <w:rPr>
          <w:b/>
          <w:highlight w:val="none"/>
        </w:rPr>
        <w:t xml:space="preserve">да ће </w:t>
      </w:r>
      <w:r>
        <w:rPr>
          <w:highlight w:val="none"/>
          <w:lang w:val="sr-Cyrl-RS"/>
        </w:rPr>
        <w:t xml:space="preserve"> </w:t>
      </w:r>
      <w:r>
        <w:rPr>
          <w:b/>
          <w:bCs/>
          <w:highlight w:val="none"/>
          <w:lang w:val="sr-Cyrl-RS"/>
        </w:rPr>
        <w:t>Одлука о  решавању стамбених потреба избеглица доделом помоћи при куповини сеоске кућа и доделу пакета помоћи у виду грађевинског материјала и/или кућних апарата/намештаја са листом корисника рангираних према реду првенства на основу испуњености услова и броја освојених бодова број 26-16/2018 од 04.05.2018. године</w:t>
      </w:r>
      <w:r>
        <w:rPr>
          <w:highlight w:val="none"/>
          <w:lang w:val="sr-Cyrl-RS"/>
        </w:rPr>
        <w:t>,</w:t>
      </w:r>
      <w:r>
        <w:rPr>
          <w:b/>
          <w:highlight w:val="none"/>
        </w:rPr>
        <w:t xml:space="preserve"> бити објављена, дана </w:t>
      </w:r>
      <w:r>
        <w:rPr>
          <w:b/>
          <w:highlight w:val="none"/>
          <w:lang w:val="sr-Cyrl-RS"/>
        </w:rPr>
        <w:t>__</w:t>
      </w:r>
      <w:r>
        <w:rPr>
          <w:b/>
          <w:highlight w:val="none"/>
        </w:rPr>
        <w:t xml:space="preserve">. </w:t>
      </w:r>
      <w:r>
        <w:rPr>
          <w:b/>
          <w:highlight w:val="none"/>
          <w:lang w:val="sr-Cyrl-RS"/>
        </w:rPr>
        <w:t>маја</w:t>
      </w:r>
      <w:r>
        <w:rPr>
          <w:b/>
          <w:highlight w:val="none"/>
        </w:rPr>
        <w:t xml:space="preserve"> 201</w:t>
      </w:r>
      <w:r>
        <w:rPr>
          <w:b/>
          <w:highlight w:val="none"/>
          <w:lang w:val="sr-Cyrl-RS"/>
        </w:rPr>
        <w:t>8</w:t>
      </w:r>
      <w:r>
        <w:rPr>
          <w:b/>
          <w:highlight w:val="none"/>
        </w:rPr>
        <w:t>. године, на огласној табли општине</w:t>
      </w:r>
      <w:r>
        <w:rPr>
          <w:rFonts w:hint="default"/>
          <w:b/>
          <w:highlight w:val="none"/>
        </w:rPr>
        <w:t xml:space="preserve"> Србобран</w:t>
      </w:r>
      <w:r>
        <w:rPr>
          <w:b/>
          <w:highlight w:val="none"/>
        </w:rPr>
        <w:t xml:space="preserve"> </w:t>
      </w:r>
      <w:r>
        <w:rPr>
          <w:rFonts w:hint="default"/>
          <w:b/>
          <w:highlight w:val="none"/>
        </w:rPr>
        <w:t xml:space="preserve"> </w:t>
      </w:r>
      <w:r>
        <w:rPr>
          <w:b/>
          <w:highlight w:val="none"/>
        </w:rPr>
        <w:t>и месних заједница општине</w:t>
      </w:r>
      <w:r>
        <w:rPr>
          <w:rFonts w:hint="default"/>
          <w:b/>
          <w:highlight w:val="none"/>
        </w:rPr>
        <w:t xml:space="preserve"> Србобран</w:t>
      </w:r>
      <w:r>
        <w:rPr>
          <w:b/>
          <w:highlight w:val="none"/>
        </w:rPr>
        <w:t xml:space="preserve"> </w:t>
      </w:r>
      <w:r>
        <w:rPr>
          <w:rFonts w:hint="default"/>
          <w:b/>
          <w:highlight w:val="none"/>
        </w:rPr>
        <w:t xml:space="preserve"> </w:t>
      </w:r>
      <w:r>
        <w:rPr>
          <w:b/>
          <w:highlight w:val="none"/>
        </w:rPr>
        <w:t xml:space="preserve">и на интернет презентацији Општине </w:t>
      </w:r>
      <w:r>
        <w:rPr>
          <w:rFonts w:hint="default"/>
          <w:b/>
          <w:bCs/>
          <w:highlight w:val="none"/>
        </w:rPr>
        <w:t>www.srbobran.rs</w:t>
      </w:r>
      <w:r>
        <w:rPr>
          <w:b/>
          <w:highlight w:val="none"/>
        </w:rPr>
        <w:t xml:space="preserve"> и Комесаријата за избеглице и миграције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"http://www.kirs.gov.rs/" </w:instrText>
      </w:r>
      <w:r>
        <w:rPr>
          <w:highlight w:val="none"/>
        </w:rPr>
        <w:fldChar w:fldCharType="separate"/>
      </w:r>
      <w:r>
        <w:rPr>
          <w:rStyle w:val="4"/>
          <w:b/>
          <w:highlight w:val="none"/>
        </w:rPr>
        <w:t>www.kirs.gov.rs</w:t>
      </w:r>
      <w:r>
        <w:rPr>
          <w:highlight w:val="none"/>
        </w:rPr>
        <w:fldChar w:fldCharType="end"/>
      </w:r>
      <w:r>
        <w:rPr>
          <w:b/>
          <w:highlight w:val="none"/>
        </w:rPr>
        <w:t>.</w:t>
      </w:r>
    </w:p>
    <w:p>
      <w:pPr>
        <w:ind w:left="284" w:right="247" w:firstLine="436"/>
        <w:jc w:val="both"/>
        <w:rPr>
          <w:b/>
          <w:highlight w:val="none"/>
        </w:rPr>
      </w:pPr>
    </w:p>
    <w:p>
      <w:pPr>
        <w:ind w:left="284" w:right="247" w:firstLine="436"/>
        <w:jc w:val="both"/>
        <w:rPr>
          <w:b/>
          <w:highlight w:val="none"/>
        </w:rPr>
      </w:pPr>
    </w:p>
    <w:p>
      <w:pPr>
        <w:ind w:left="284" w:right="247" w:firstLine="436"/>
        <w:jc w:val="both"/>
        <w:rPr>
          <w:b/>
          <w:highlight w:val="none"/>
        </w:rPr>
      </w:pPr>
    </w:p>
    <w:p>
      <w:pPr>
        <w:ind w:left="284" w:right="247" w:firstLine="436"/>
        <w:jc w:val="both"/>
        <w:rPr>
          <w:b/>
          <w:highlight w:val="none"/>
        </w:rPr>
      </w:pPr>
    </w:p>
    <w:p>
      <w:pPr>
        <w:ind w:left="284" w:right="247" w:firstLine="436"/>
        <w:jc w:val="both"/>
        <w:rPr>
          <w:b/>
          <w:highlight w:val="none"/>
        </w:rPr>
      </w:pPr>
    </w:p>
    <w:p>
      <w:pPr>
        <w:ind w:left="284" w:right="247"/>
        <w:jc w:val="both"/>
        <w:rPr>
          <w:b/>
          <w:highlight w:val="none"/>
        </w:rPr>
      </w:pPr>
    </w:p>
    <w:p>
      <w:pPr>
        <w:ind w:left="284" w:right="247"/>
        <w:jc w:val="both"/>
        <w:rPr>
          <w:b/>
          <w:highlight w:val="none"/>
        </w:rPr>
      </w:pPr>
    </w:p>
    <w:p>
      <w:pPr>
        <w:ind w:left="284" w:right="247"/>
        <w:jc w:val="both"/>
        <w:rPr>
          <w:b/>
          <w:highlight w:val="none"/>
        </w:rPr>
      </w:pPr>
    </w:p>
    <w:p>
      <w:pPr>
        <w:ind w:left="284" w:right="247"/>
        <w:jc w:val="both"/>
        <w:rPr>
          <w:b/>
          <w:highlight w:val="none"/>
        </w:rPr>
      </w:pPr>
    </w:p>
    <w:p>
      <w:pPr>
        <w:ind w:left="284" w:right="247"/>
        <w:jc w:val="both"/>
        <w:rPr>
          <w:b/>
          <w:highlight w:val="none"/>
        </w:rPr>
      </w:pPr>
    </w:p>
    <w:p>
      <w:pPr>
        <w:ind w:left="284" w:right="247"/>
        <w:jc w:val="both"/>
        <w:rPr>
          <w:b/>
          <w:highlight w:val="none"/>
        </w:rPr>
      </w:pPr>
    </w:p>
    <w:p>
      <w:pPr>
        <w:ind w:left="284" w:right="247"/>
        <w:jc w:val="both"/>
        <w:rPr>
          <w:highlight w:val="none"/>
        </w:rPr>
      </w:pPr>
      <w:r>
        <w:rPr>
          <w:highlight w:val="none"/>
        </w:rPr>
        <w:t xml:space="preserve"> </w:t>
      </w:r>
    </w:p>
    <w:p>
      <w:pPr>
        <w:ind w:left="284" w:right="247"/>
        <w:jc w:val="both"/>
        <w:rPr>
          <w:highlight w:val="none"/>
        </w:rPr>
      </w:pPr>
    </w:p>
    <w:p>
      <w:pPr>
        <w:ind w:left="284" w:right="247"/>
        <w:jc w:val="both"/>
        <w:rPr>
          <w:highlight w:val="none"/>
        </w:rPr>
      </w:pPr>
    </w:p>
    <w:p>
      <w:pPr>
        <w:ind w:left="284" w:right="247"/>
        <w:jc w:val="both"/>
        <w:rPr>
          <w:highlight w:val="none"/>
        </w:rPr>
      </w:pPr>
    </w:p>
    <w:p>
      <w:pPr>
        <w:ind w:left="284" w:right="247"/>
        <w:jc w:val="both"/>
        <w:rPr>
          <w:highlight w:val="none"/>
        </w:rPr>
      </w:pPr>
    </w:p>
    <w:p>
      <w:pPr>
        <w:ind w:left="284" w:right="247"/>
        <w:jc w:val="both"/>
        <w:rPr>
          <w:highlight w:val="none"/>
        </w:rPr>
      </w:pPr>
    </w:p>
    <w:sectPr>
      <w:headerReference r:id="rId3" w:type="default"/>
      <w:footerReference r:id="rId4" w:type="default"/>
      <w:pgSz w:w="11900" w:h="16840"/>
      <w:pgMar w:top="1635" w:right="794" w:bottom="2005" w:left="794" w:header="720" w:footer="864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Helvetica">
    <w:altName w:val="Microsoft Sans Serif"/>
    <w:panose1 w:val="020B0604020202020204"/>
    <w:charset w:val="00"/>
    <w:family w:val="auto"/>
    <w:pitch w:val="default"/>
    <w:sig w:usb0="00000000" w:usb1="00000000" w:usb2="00000009" w:usb3="00000000" w:csb0="000001FF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roma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/>
    <w:r>
      <w:rPr>
        <w:rFonts w:ascii="Times New Roman" w:hAnsi="Times New Roman" w:eastAsia="Arial Unicode MS" w:cs="Times New Roman"/>
        <w:sz w:val="24"/>
        <w:szCs w:val="24"/>
        <w:lang w:val="en-US" w:eastAsia="en-US" w:bidi="ar-SA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6743700</wp:posOffset>
          </wp:positionV>
          <wp:extent cx="7556500" cy="942975"/>
          <wp:effectExtent l="0" t="0" r="6350" b="9525"/>
          <wp:wrapNone/>
          <wp:docPr id="1" name="officeArt objec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fficeArt object"/>
                  <pic:cNvPicPr>
                    <a:picLocks noChangeAspect="1"/>
                  </pic:cNvPicPr>
                </pic:nvPicPr>
                <pic:blipFill>
                  <a:blip r:embed="rId1">
                    <a:lum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0" cy="942975"/>
                  </a:xfrm>
                  <a:prstGeom prst="rect">
                    <a:avLst/>
                  </a:prstGeom>
                  <a:noFill/>
                  <a:ln w="9525">
                    <a:noFill/>
                    <a:miter/>
                  </a:ln>
                </pic:spPr>
              </pic:pic>
            </a:graphicData>
          </a:graphic>
        </wp:anchor>
      </w:drawing>
    </w:r>
    <w:r>
      <w:rPr>
        <w:rFonts w:ascii="Times New Roman" w:hAnsi="Times New Roman" w:eastAsia="Arial Unicode MS" w:cs="Times New Roman"/>
        <w:sz w:val="24"/>
        <w:szCs w:val="24"/>
        <w:lang w:val="en-US" w:eastAsia="en-US" w:bidi="ar-S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9525</wp:posOffset>
          </wp:positionH>
          <wp:positionV relativeFrom="page">
            <wp:posOffset>-38100</wp:posOffset>
          </wp:positionV>
          <wp:extent cx="4171950" cy="990600"/>
          <wp:effectExtent l="0" t="0" r="0" b="0"/>
          <wp:wrapNone/>
          <wp:docPr id="2" name="officeArt objec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fficeArt object"/>
                  <pic:cNvPicPr>
                    <a:picLocks noChangeAspect="1"/>
                  </pic:cNvPicPr>
                </pic:nvPicPr>
                <pic:blipFill>
                  <a:blip r:embed="rId2">
                    <a:lum/>
                  </a:blip>
                  <a:srcRect l="438" r="438"/>
                  <a:stretch>
                    <a:fillRect/>
                  </a:stretch>
                </pic:blipFill>
                <pic:spPr>
                  <a:xfrm>
                    <a:off x="0" y="0"/>
                    <a:ext cx="4171950" cy="990600"/>
                  </a:xfrm>
                  <a:prstGeom prst="rect">
                    <a:avLst/>
                  </a:prstGeom>
                  <a:noFill/>
                  <a:ln w="9525">
                    <a:noFill/>
                    <a:miter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0"/>
  <w:displayHorizontalDrawingGridEvery w:val="1"/>
  <w:displayVerticalDrawingGridEvery w:val="1"/>
  <w:characterSpacingControl w:val="doNotCompress"/>
  <w:hdrShapeDefaults>
    <o:shapelayout v:ext="edit">
      <o:idmap v:ext="edit" data="2"/>
    </o:shapelayout>
  </w:hdrShapeDefaults>
  <w:compat>
    <w:spaceForUL/>
    <w:doNotLeaveBackslashAlone/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B71BA0"/>
  </w:rsid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Arial Unicode MS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rPr>
      <w:rFonts w:ascii="Times New Roman" w:hAnsi="Times New Roman" w:eastAsia="Arial Unicode MS" w:cs="Times New Roman"/>
      <w:sz w:val="24"/>
      <w:szCs w:val="24"/>
      <w:lang w:val="en-US" w:eastAsia="en-US" w:bidi="ar-SA"/>
    </w:rPr>
  </w:style>
  <w:style w:type="character" w:default="1" w:styleId="2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FollowedHyperlink"/>
    <w:basedOn w:val="2"/>
    <w:unhideWhenUsed/>
    <w:uiPriority w:val="99"/>
    <w:rPr>
      <w:color w:val="FF00FF"/>
      <w:u w:val="single"/>
    </w:rPr>
  </w:style>
  <w:style w:type="character" w:styleId="4">
    <w:name w:val="Hyperlink"/>
    <w:uiPriority w:val="0"/>
    <w:rPr>
      <w:u w:val="single"/>
    </w:rPr>
  </w:style>
  <w:style w:type="paragraph" w:customStyle="1" w:styleId="6">
    <w:name w:val="Body"/>
    <w:uiPriority w:val="0"/>
    <w:rPr>
      <w:rFonts w:ascii="Helvetica" w:hAnsi="Arial Unicode MS" w:eastAsia="Arial Unicode MS" w:cs="Arial Unicode MS"/>
      <w:color w:val="000000"/>
      <w:sz w:val="22"/>
      <w:szCs w:val="22"/>
      <w:lang w:val="en-US" w:eastAsia="zh-CN" w:bidi="ar-SA"/>
    </w:rPr>
  </w:style>
  <w:style w:type="paragraph" w:customStyle="1" w:styleId="7">
    <w:name w:val="List Paragraph"/>
    <w:basedOn w:val="1"/>
    <w:qFormat/>
    <w:uiPriority w:val="34"/>
    <w:pPr>
      <w:ind w:left="720"/>
      <w:contextualSpacing/>
    </w:pPr>
  </w:style>
  <w:style w:type="paragraph" w:customStyle="1" w:styleId="8">
    <w:name w:val="No Spacing"/>
    <w:qFormat/>
    <w:uiPriority w:val="99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autoSpaceDE w:val="0"/>
      <w:autoSpaceDN w:val="0"/>
      <w:adjustRightInd w:val="0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219</Words>
  <Characters>1249</Characters>
  <Lines>10</Lines>
  <Paragraphs>2</Paragraphs>
  <ScaleCrop>false</ScaleCrop>
  <LinksUpToDate>false</LinksUpToDate>
  <CharactersWithSpaces>0</CharactersWithSpaces>
  <Application>WPS Office_10.1.0.5452_F1E327BC-269C-435d-A152-05C5408002CA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2016-08-22T10:59:00Z</dcterms:created>
  <dc:creator>FireWalker</dc:creator>
  <cp:lastModifiedBy>Nada</cp:lastModifiedBy>
  <dcterms:modified xsi:type="dcterms:W3CDTF">2018-05-11T08:24:29Z</dcterms:modified>
  <dc:title>На основу члана 15. став 6. Правилника о условима и мерилима за избор корисника помоћи за решавање стамбених потреба избеглица кроз куповину сеоске куће и доделу пакета помоћи, поступку и начину рада Комисије за избор корисника, број 9-1280/15 од 4. де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1033-10.1.0.5452</vt:lpwstr>
  </property>
</Properties>
</file>